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2DD1B7D1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জানুয়ারি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৩</w:t>
      </w:r>
      <w:r w:rsidR="004B1AE4">
        <w:rPr>
          <w:rFonts w:ascii="Nikosh" w:eastAsia="Nikosh" w:hAnsi="Nikosh" w:cs="Nikosh"/>
          <w:sz w:val="24"/>
          <w:szCs w:val="24"/>
          <w:lang w:bidi="bn-BD"/>
        </w:rPr>
        <w:t>১</w:t>
      </w:r>
      <w:bookmarkStart w:id="0" w:name="_GoBack"/>
      <w:bookmarkEnd w:id="0"/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০১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3DA8DB8" w:rsidR="00631DAA" w:rsidRPr="00141ADF" w:rsidRDefault="00185326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6E45F916" w14:textId="132003F7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185326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660ECE45" w:rsidR="00631DAA" w:rsidRPr="00FA2FA4" w:rsidRDefault="00F568D7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1440" w:type="dxa"/>
          </w:tcPr>
          <w:p w14:paraId="16EEF6CD" w14:textId="269CB681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F568D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0DCBE80F" w:rsidR="00631DAA" w:rsidRPr="00E0746F" w:rsidRDefault="00F568D7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২২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09073339" w:rsidR="00631DAA" w:rsidRPr="00E0746F" w:rsidRDefault="00F568D7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৫৩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3033685B" w:rsidR="00631DAA" w:rsidRPr="00FA2FA4" w:rsidRDefault="00EB0BC3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F551635" w:rsidR="00631DAA" w:rsidRPr="00FA2FA4" w:rsidRDefault="00EB0BC3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449CEAB9" w:rsidR="00631DAA" w:rsidRPr="00500B23" w:rsidRDefault="00775AFC" w:rsidP="00775AF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04935D4A" w:rsidR="000F59DB" w:rsidRPr="00A86363" w:rsidRDefault="002A46A0" w:rsidP="005913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00A30BAF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পিকেআই আরএন্ডি 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2A46A0">
              <w:rPr>
                <w:rFonts w:ascii="Nikosh" w:hAnsi="Nikosh" w:cs="Nikosh"/>
                <w:sz w:val="24"/>
                <w:szCs w:val="24"/>
              </w:rPr>
              <w:t>স্থাপনের কাজ চলমান রয়েছে।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84B160F" w:rsidR="003A4E53" w:rsidRPr="00A86363" w:rsidRDefault="003A4E53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 সেন্টার মেইনটেন্যান্স ও রক্ষণাবেক্ষণ এর জন্য বিজনেস মডেল তৈরীর বিষয়টি নিয়ে প্রাথমিক আলোচনা চলছে।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স্থাপিত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কেপিআই ভূক্ত হওয়ায় কার্যক্রম ও অন্যান্য সম্ভব্য অংশীজনের সাথে গ্রহণযোগ্য আলোচনা সাপেক্ষ্য কার্যক্রম গ্রহণ করা হচ্ছে।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৫৪,০০০/-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538E5040" w:rsidR="00AA0578" w:rsidRPr="000E3199" w:rsidRDefault="00AA0578" w:rsidP="00651B8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 w:rsidR="00651B8B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,৫৪,৬৪,৬৫০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B842595" w:rsidR="00AA0578" w:rsidRPr="000E3199" w:rsidRDefault="00E71C91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নিষ্পত্তি মূলক 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ব্রডশীট জবাব 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>প্রেরণ করা হয়েছে।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৪,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পঞ্চান্ন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লক্ষ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আঠারো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ছয়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শত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AF70B22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A03F665" w14:textId="77777777" w:rsidR="002A46A0" w:rsidRDefault="002A46A0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272DC23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800"/>
        <w:gridCol w:w="2520"/>
      </w:tblGrid>
      <w:tr w:rsidR="00631DAA" w:rsidRPr="00FA2FA4" w14:paraId="7B4EDC42" w14:textId="77777777" w:rsidTr="00CD2AC0">
        <w:trPr>
          <w:trHeight w:val="70"/>
        </w:trPr>
        <w:tc>
          <w:tcPr>
            <w:tcW w:w="423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26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D2AC0">
        <w:trPr>
          <w:trHeight w:val="70"/>
        </w:trPr>
        <w:tc>
          <w:tcPr>
            <w:tcW w:w="423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D2AC0">
        <w:trPr>
          <w:trHeight w:val="70"/>
        </w:trPr>
        <w:tc>
          <w:tcPr>
            <w:tcW w:w="423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260" w:type="dxa"/>
          </w:tcPr>
          <w:p w14:paraId="30D6614C" w14:textId="376B6D71" w:rsidR="00962AED" w:rsidRDefault="00CD2AC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2F5255FA" w:rsidR="00ED218E" w:rsidRDefault="00CD2AC0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9245CA" w:rsidRPr="00FA2FA4" w14:paraId="7D1D8EFA" w14:textId="77777777" w:rsidTr="00CD2AC0">
        <w:trPr>
          <w:trHeight w:val="70"/>
        </w:trPr>
        <w:tc>
          <w:tcPr>
            <w:tcW w:w="4230" w:type="dxa"/>
          </w:tcPr>
          <w:p w14:paraId="52EBEFD8" w14:textId="3BB1470D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260" w:type="dxa"/>
          </w:tcPr>
          <w:p w14:paraId="405D0C5B" w14:textId="43743ADC" w:rsidR="00962AED" w:rsidRDefault="00B55F53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53C2F7AF" w:rsidR="009245CA" w:rsidRDefault="00B55F53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13567E63" w14:textId="1CB17270" w:rsidR="00426BE6" w:rsidRPr="00E26E09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42DF2E0C" w14:textId="5E7FE1D1" w:rsidR="002B4660" w:rsidRPr="00E26E09" w:rsidRDefault="00D92C44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566B4640" w14:textId="549B364E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AD5163">
        <w:rPr>
          <w:rFonts w:ascii="Nikosh" w:eastAsia="Nikosh" w:hAnsi="Nikosh" w:cs="Nikosh"/>
          <w:b/>
          <w:bCs/>
          <w:sz w:val="24"/>
          <w:szCs w:val="24"/>
          <w:lang w:bidi="bn-IN"/>
        </w:rPr>
        <w:t>ফেব্রুয়ারি</w:t>
      </w:r>
      <w:r w:rsidR="002F10C2">
        <w:rPr>
          <w:rFonts w:ascii="Nikosh" w:eastAsia="Nikosh" w:hAnsi="Nikosh" w:cs="Nikosh"/>
          <w:b/>
          <w:bCs/>
          <w:sz w:val="24"/>
          <w:szCs w:val="24"/>
          <w:lang w:bidi="bn-IN"/>
        </w:rPr>
        <w:t>-মার্চ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772E26F5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অনুযায়ী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তৈরী করা </w:t>
      </w:r>
      <w:r w:rsidR="003139E9">
        <w:rPr>
          <w:rFonts w:ascii="Nikosh" w:eastAsia="Times New Roman" w:hAnsi="Nikosh" w:cs="Nikosh"/>
          <w:bCs/>
          <w:sz w:val="24"/>
          <w:szCs w:val="24"/>
        </w:rPr>
        <w:t>হয়েছে।</w:t>
      </w:r>
    </w:p>
    <w:p w14:paraId="4840B10B" w14:textId="6988E26B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AD5163">
        <w:rPr>
          <w:rFonts w:ascii="Nikosh" w:eastAsia="Nikosh" w:hAnsi="Nikosh" w:cs="Nikosh"/>
          <w:b/>
          <w:bCs/>
          <w:sz w:val="24"/>
          <w:szCs w:val="24"/>
          <w:lang w:bidi="bn-IN"/>
        </w:rPr>
        <w:t>ফেব্রুয়ারি</w:t>
      </w:r>
      <w:r w:rsidR="002F10C2">
        <w:rPr>
          <w:rFonts w:ascii="Nikosh" w:eastAsia="Nikosh" w:hAnsi="Nikosh" w:cs="Nikosh"/>
          <w:b/>
          <w:bCs/>
          <w:sz w:val="24"/>
          <w:szCs w:val="24"/>
          <w:lang w:bidi="bn-IN"/>
        </w:rPr>
        <w:t>-মার্চ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DC01" w14:textId="77777777" w:rsidR="004D104C" w:rsidRDefault="004D104C" w:rsidP="00B469F9">
      <w:pPr>
        <w:spacing w:after="0" w:line="240" w:lineRule="auto"/>
      </w:pPr>
      <w:r>
        <w:separator/>
      </w:r>
    </w:p>
  </w:endnote>
  <w:endnote w:type="continuationSeparator" w:id="0">
    <w:p w14:paraId="6648A52E" w14:textId="77777777" w:rsidR="004D104C" w:rsidRDefault="004D104C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6EC9" w14:textId="77777777" w:rsidR="004D104C" w:rsidRDefault="004D104C" w:rsidP="00B469F9">
      <w:pPr>
        <w:spacing w:after="0" w:line="240" w:lineRule="auto"/>
      </w:pPr>
      <w:r>
        <w:separator/>
      </w:r>
    </w:p>
  </w:footnote>
  <w:footnote w:type="continuationSeparator" w:id="0">
    <w:p w14:paraId="6CA8F2F9" w14:textId="77777777" w:rsidR="004D104C" w:rsidRDefault="004D104C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60A"/>
    <w:rsid w:val="003A07BC"/>
    <w:rsid w:val="003A350E"/>
    <w:rsid w:val="003A4C94"/>
    <w:rsid w:val="003A4E53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4EB0"/>
    <w:rsid w:val="004C6AC6"/>
    <w:rsid w:val="004C6D97"/>
    <w:rsid w:val="004C745C"/>
    <w:rsid w:val="004D104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3E56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4AB"/>
    <w:rsid w:val="006A186F"/>
    <w:rsid w:val="006A1D1E"/>
    <w:rsid w:val="006A265F"/>
    <w:rsid w:val="006A2823"/>
    <w:rsid w:val="006A2EA6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AC5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D911-0556-4D1F-A01E-8183DD96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1091</cp:revision>
  <cp:lastPrinted>2022-08-31T03:08:00Z</cp:lastPrinted>
  <dcterms:created xsi:type="dcterms:W3CDTF">2021-02-01T08:52:00Z</dcterms:created>
  <dcterms:modified xsi:type="dcterms:W3CDTF">2023-01-31T10:25:00Z</dcterms:modified>
</cp:coreProperties>
</file>